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41B7" w14:textId="77777777" w:rsidR="00017E7E" w:rsidRDefault="00000000">
      <w:pPr>
        <w:pStyle w:val="Bodytext20"/>
        <w:shd w:val="clear" w:color="auto" w:fill="auto"/>
        <w:spacing w:after="4320" w:line="240" w:lineRule="auto"/>
      </w:pPr>
      <w:r>
        <w:t>DIRECCIÓN GENERAL DE AERONÁUTICA CIVIL</w:t>
      </w:r>
    </w:p>
    <w:p w14:paraId="22A1D3F6" w14:textId="77777777" w:rsidR="00017E7E" w:rsidRDefault="00000000">
      <w:pPr>
        <w:pStyle w:val="Bodytext20"/>
        <w:shd w:val="clear" w:color="auto" w:fill="auto"/>
        <w:spacing w:after="0"/>
      </w:pPr>
      <w:r>
        <w:t>INFORME DE AUDITORÍA INTERNA</w:t>
      </w:r>
    </w:p>
    <w:p w14:paraId="354D4CF9" w14:textId="77777777" w:rsidR="00017E7E" w:rsidRDefault="00000000">
      <w:pPr>
        <w:pStyle w:val="Bodytext20"/>
        <w:shd w:val="clear" w:color="auto" w:fill="auto"/>
        <w:spacing w:after="4820"/>
      </w:pPr>
      <w:r>
        <w:t>ALMACÉN GENERAL</w:t>
      </w:r>
      <w:r>
        <w:br/>
        <w:t>Del 01 de Octubre de 2022 al 31 de Agosto de 2023</w:t>
      </w:r>
      <w:r>
        <w:br/>
        <w:t>CAI 00013</w:t>
      </w:r>
    </w:p>
    <w:p w14:paraId="718EC6AB" w14:textId="77777777" w:rsidR="00017E7E" w:rsidRDefault="00000000">
      <w:pPr>
        <w:pStyle w:val="Bodytext20"/>
        <w:shd w:val="clear" w:color="auto" w:fill="auto"/>
        <w:spacing w:after="0" w:line="240" w:lineRule="auto"/>
      </w:pPr>
      <w:r>
        <w:t>GUATEMALA, 20 de Diciembre de 2023</w:t>
      </w:r>
    </w:p>
    <w:p w14:paraId="43ED088E" w14:textId="77777777" w:rsidR="00EE4105" w:rsidRDefault="00EE4105">
      <w:pPr>
        <w:pStyle w:val="Bodytext10"/>
        <w:shd w:val="clear" w:color="auto" w:fill="auto"/>
        <w:spacing w:after="1920" w:line="240" w:lineRule="auto"/>
        <w:ind w:firstLine="0"/>
        <w:jc w:val="right"/>
        <w:rPr>
          <w:b/>
          <w:bCs/>
        </w:rPr>
      </w:pPr>
    </w:p>
    <w:p w14:paraId="54805FDA" w14:textId="77777777" w:rsidR="00EE4105" w:rsidRDefault="00EE4105">
      <w:pPr>
        <w:pStyle w:val="Bodytext10"/>
        <w:shd w:val="clear" w:color="auto" w:fill="auto"/>
        <w:spacing w:after="1920" w:line="240" w:lineRule="auto"/>
        <w:ind w:firstLine="0"/>
        <w:jc w:val="right"/>
        <w:rPr>
          <w:b/>
          <w:bCs/>
        </w:rPr>
      </w:pPr>
    </w:p>
    <w:p w14:paraId="0D6882A3" w14:textId="776E109D" w:rsidR="00017E7E" w:rsidRDefault="00000000">
      <w:pPr>
        <w:pStyle w:val="Bodytext10"/>
        <w:shd w:val="clear" w:color="auto" w:fill="auto"/>
        <w:spacing w:after="1920" w:line="240" w:lineRule="auto"/>
        <w:ind w:firstLine="0"/>
        <w:jc w:val="right"/>
      </w:pPr>
      <w:r>
        <w:rPr>
          <w:b/>
          <w:bCs/>
        </w:rPr>
        <w:t>Guatemala, 20 de Diciembre de 2023</w:t>
      </w:r>
    </w:p>
    <w:p w14:paraId="7D686C12" w14:textId="77777777" w:rsidR="00017E7E" w:rsidRDefault="00000000">
      <w:pPr>
        <w:pStyle w:val="Bodytext10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Director General:</w:t>
      </w:r>
    </w:p>
    <w:p w14:paraId="2A06EBF8" w14:textId="77777777" w:rsidR="00017E7E" w:rsidRDefault="00000000">
      <w:pPr>
        <w:pStyle w:val="Bodytext10"/>
        <w:shd w:val="clear" w:color="auto" w:fill="auto"/>
        <w:spacing w:line="240" w:lineRule="auto"/>
        <w:ind w:firstLine="0"/>
      </w:pPr>
      <w:r>
        <w:rPr>
          <w:b/>
          <w:bCs/>
        </w:rPr>
        <w:t>Francis Arturo Argueta Aguirre</w:t>
      </w:r>
    </w:p>
    <w:p w14:paraId="669765A1" w14:textId="77777777" w:rsidR="00017E7E" w:rsidRDefault="00000000">
      <w:pPr>
        <w:pStyle w:val="Bodytext10"/>
        <w:shd w:val="clear" w:color="auto" w:fill="auto"/>
        <w:spacing w:line="240" w:lineRule="auto"/>
        <w:ind w:firstLine="0"/>
      </w:pPr>
      <w:r>
        <w:rPr>
          <w:b/>
          <w:bCs/>
        </w:rPr>
        <w:t>DIRECCIÓN GENERAL DE AERONÁUTICA CIVIL</w:t>
      </w:r>
    </w:p>
    <w:p w14:paraId="5922B7D7" w14:textId="77777777" w:rsidR="00017E7E" w:rsidRDefault="00000000">
      <w:pPr>
        <w:pStyle w:val="Bodytext10"/>
        <w:shd w:val="clear" w:color="auto" w:fill="auto"/>
        <w:spacing w:after="840" w:line="240" w:lineRule="auto"/>
        <w:ind w:firstLine="0"/>
        <w:jc w:val="both"/>
      </w:pPr>
      <w:r>
        <w:rPr>
          <w:b/>
          <w:bCs/>
        </w:rPr>
        <w:t>Su despacho</w:t>
      </w:r>
    </w:p>
    <w:p w14:paraId="23F39198" w14:textId="77777777" w:rsidR="00017E7E" w:rsidRDefault="00000000">
      <w:pPr>
        <w:pStyle w:val="Bodytext10"/>
        <w:shd w:val="clear" w:color="auto" w:fill="auto"/>
        <w:spacing w:after="560" w:line="240" w:lineRule="auto"/>
        <w:ind w:firstLine="0"/>
        <w:jc w:val="both"/>
      </w:pPr>
      <w:r>
        <w:rPr>
          <w:b/>
          <w:bCs/>
        </w:rPr>
        <w:t>Señor(a):</w:t>
      </w:r>
    </w:p>
    <w:p w14:paraId="52252991" w14:textId="77777777" w:rsidR="00017E7E" w:rsidRDefault="00000000">
      <w:pPr>
        <w:pStyle w:val="Bodytext10"/>
        <w:shd w:val="clear" w:color="auto" w:fill="auto"/>
        <w:ind w:firstLine="0"/>
        <w:jc w:val="right"/>
      </w:pPr>
      <w:r>
        <w:t>De acuerdo a nombramiento de auditoría interna No. NAI-013-2023, emitido con fecha</w:t>
      </w:r>
    </w:p>
    <w:p w14:paraId="76B8861A" w14:textId="77777777" w:rsidR="00017E7E" w:rsidRDefault="00000000">
      <w:pPr>
        <w:pStyle w:val="Bodytext10"/>
        <w:shd w:val="clear" w:color="auto" w:fill="auto"/>
        <w:spacing w:after="300"/>
        <w:ind w:firstLine="0"/>
        <w:jc w:val="both"/>
      </w:pPr>
      <w:r>
        <w:t>26-09-2023, hago de su conocimiento en el informe de auditoría interna, actuamos de conformidad con la ordenanza de auditoría interna Gubernamental y Manual de Auditoría Interna</w:t>
      </w:r>
    </w:p>
    <w:p w14:paraId="33CC3E0B" w14:textId="7B2C239B" w:rsidR="00EE4105" w:rsidRDefault="00EE4105">
      <w:pPr>
        <w:pStyle w:val="Bodytext10"/>
        <w:shd w:val="clear" w:color="auto" w:fill="auto"/>
        <w:spacing w:after="300"/>
        <w:ind w:firstLine="0"/>
        <w:jc w:val="both"/>
      </w:pPr>
      <w:r>
        <w:t xml:space="preserve">Sin otro particular, </w:t>
      </w:r>
    </w:p>
    <w:p w14:paraId="5BF272E4" w14:textId="77777777" w:rsidR="00017E7E" w:rsidRDefault="00017E7E">
      <w:pPr>
        <w:rPr>
          <w:sz w:val="2"/>
          <w:szCs w:val="2"/>
        </w:rPr>
      </w:pPr>
    </w:p>
    <w:p w14:paraId="7B7C6127" w14:textId="77777777" w:rsidR="00EE4105" w:rsidRDefault="00EE4105">
      <w:pPr>
        <w:rPr>
          <w:sz w:val="2"/>
          <w:szCs w:val="2"/>
        </w:rPr>
      </w:pPr>
    </w:p>
    <w:p w14:paraId="1FFD78E7" w14:textId="6403B25C" w:rsidR="00EE4105" w:rsidRDefault="00EE4105">
      <w:pPr>
        <w:rPr>
          <w:sz w:val="2"/>
          <w:szCs w:val="2"/>
        </w:rPr>
        <w:sectPr w:rsidR="00EE4105">
          <w:footerReference w:type="even" r:id="rId7"/>
          <w:footerReference w:type="default" r:id="rId8"/>
          <w:pgSz w:w="12240" w:h="15840"/>
          <w:pgMar w:top="2352" w:right="1274" w:bottom="2236" w:left="1131" w:header="0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sO</w:t>
      </w:r>
      <w:proofErr w:type="spellEnd"/>
    </w:p>
    <w:p w14:paraId="5A13E74B" w14:textId="77777777" w:rsidR="00017E7E" w:rsidRDefault="00000000">
      <w:pPr>
        <w:pStyle w:val="Heading110"/>
        <w:keepNext/>
        <w:keepLines/>
        <w:shd w:val="clear" w:color="auto" w:fill="auto"/>
      </w:pPr>
      <w:bookmarkStart w:id="0" w:name="bookmark0"/>
      <w:proofErr w:type="spellStart"/>
      <w:r>
        <w:lastRenderedPageBreak/>
        <w:t>Indice</w:t>
      </w:r>
      <w:bookmarkEnd w:id="0"/>
      <w:proofErr w:type="spellEnd"/>
    </w:p>
    <w:p w14:paraId="489D1CFC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51"/>
          <w:tab w:val="right" w:pos="979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INFORMACIÓN GENERAL</w:t>
      </w:r>
      <w:r>
        <w:tab/>
        <w:t>4</w:t>
      </w:r>
    </w:p>
    <w:p w14:paraId="4E6DC93C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58"/>
          <w:tab w:val="right" w:pos="9799"/>
        </w:tabs>
      </w:pPr>
      <w:r>
        <w:t>FUNDAMENTO LEGAL</w:t>
      </w:r>
      <w:r>
        <w:tab/>
        <w:t>4</w:t>
      </w:r>
    </w:p>
    <w:p w14:paraId="64CDECE5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58"/>
          <w:tab w:val="right" w:pos="9799"/>
        </w:tabs>
      </w:pPr>
      <w:r>
        <w:t>IDENTIFICACIÓN DE LAS NORMAS DE AUDITORIA INTERNA OBSERVADAS</w:t>
      </w:r>
      <w:r>
        <w:tab/>
        <w:t>4</w:t>
      </w:r>
    </w:p>
    <w:p w14:paraId="4B05EED3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62"/>
          <w:tab w:val="right" w:pos="9799"/>
        </w:tabs>
      </w:pPr>
      <w:r>
        <w:t>OBJETIVOS</w:t>
      </w:r>
      <w:r>
        <w:tab/>
        <w:t>4</w:t>
      </w:r>
    </w:p>
    <w:p w14:paraId="3DA7E221" w14:textId="77777777" w:rsidR="00017E7E" w:rsidRDefault="00000000">
      <w:pPr>
        <w:pStyle w:val="Tableofcontents10"/>
        <w:numPr>
          <w:ilvl w:val="1"/>
          <w:numId w:val="1"/>
        </w:numPr>
        <w:shd w:val="clear" w:color="auto" w:fill="auto"/>
        <w:tabs>
          <w:tab w:val="left" w:pos="470"/>
          <w:tab w:val="right" w:pos="9799"/>
        </w:tabs>
      </w:pPr>
      <w:r>
        <w:t>GENERAL</w:t>
      </w:r>
      <w:r>
        <w:tab/>
        <w:t>4</w:t>
      </w:r>
    </w:p>
    <w:p w14:paraId="6C9ADEC8" w14:textId="77777777" w:rsidR="00017E7E" w:rsidRDefault="00000000">
      <w:pPr>
        <w:pStyle w:val="Tableofcontents10"/>
        <w:numPr>
          <w:ilvl w:val="1"/>
          <w:numId w:val="1"/>
        </w:numPr>
        <w:shd w:val="clear" w:color="auto" w:fill="auto"/>
        <w:tabs>
          <w:tab w:val="left" w:pos="506"/>
          <w:tab w:val="right" w:pos="9799"/>
        </w:tabs>
      </w:pPr>
      <w:r>
        <w:t>ESPECÍFICOS</w:t>
      </w:r>
      <w:r>
        <w:tab/>
        <w:t>5</w:t>
      </w:r>
    </w:p>
    <w:p w14:paraId="0C6193D9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62"/>
          <w:tab w:val="right" w:pos="9799"/>
        </w:tabs>
      </w:pPr>
      <w:r>
        <w:t>ALCANCE</w:t>
      </w:r>
      <w:r>
        <w:tab/>
        <w:t>5</w:t>
      </w:r>
    </w:p>
    <w:p w14:paraId="1671A29C" w14:textId="77777777" w:rsidR="00017E7E" w:rsidRDefault="00000000">
      <w:pPr>
        <w:pStyle w:val="Tableofcontents10"/>
        <w:numPr>
          <w:ilvl w:val="1"/>
          <w:numId w:val="1"/>
        </w:numPr>
        <w:shd w:val="clear" w:color="auto" w:fill="auto"/>
        <w:tabs>
          <w:tab w:val="left" w:pos="456"/>
          <w:tab w:val="right" w:pos="9799"/>
        </w:tabs>
      </w:pPr>
      <w:r>
        <w:t>LIMITACIONES AL ALCANCE</w:t>
      </w:r>
      <w:r>
        <w:tab/>
        <w:t>5</w:t>
      </w:r>
    </w:p>
    <w:p w14:paraId="2077E5AF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62"/>
          <w:tab w:val="right" w:pos="9799"/>
        </w:tabs>
      </w:pPr>
      <w:r>
        <w:t>ESTRATEGIAS</w:t>
      </w:r>
      <w:r>
        <w:tab/>
        <w:t>5</w:t>
      </w:r>
    </w:p>
    <w:p w14:paraId="32B32817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62"/>
          <w:tab w:val="right" w:pos="9799"/>
        </w:tabs>
      </w:pPr>
      <w:r>
        <w:t>RESULTADOS DE LA AUDITORÍA</w:t>
      </w:r>
      <w:r>
        <w:tab/>
        <w:t>5</w:t>
      </w:r>
    </w:p>
    <w:p w14:paraId="1E15D911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62"/>
          <w:tab w:val="right" w:pos="9799"/>
        </w:tabs>
      </w:pPr>
      <w:r>
        <w:t>CONCLUSIÓN ESPECÍFICA</w:t>
      </w:r>
      <w:r>
        <w:tab/>
        <w:t>5</w:t>
      </w:r>
    </w:p>
    <w:p w14:paraId="47352B6E" w14:textId="77777777" w:rsidR="00017E7E" w:rsidRDefault="00000000">
      <w:pPr>
        <w:pStyle w:val="Tableofcontents10"/>
        <w:numPr>
          <w:ilvl w:val="0"/>
          <w:numId w:val="1"/>
        </w:numPr>
        <w:shd w:val="clear" w:color="auto" w:fill="auto"/>
        <w:tabs>
          <w:tab w:val="left" w:pos="362"/>
          <w:tab w:val="right" w:pos="9799"/>
        </w:tabs>
      </w:pPr>
      <w:r>
        <w:t>EQUIPO DE AUDITORÍA</w:t>
      </w:r>
      <w:r>
        <w:tab/>
        <w:t>6</w:t>
      </w:r>
    </w:p>
    <w:p w14:paraId="5DCFF506" w14:textId="77777777" w:rsidR="00017E7E" w:rsidRDefault="00000000">
      <w:pPr>
        <w:pStyle w:val="Tableofcontents10"/>
        <w:shd w:val="clear" w:color="auto" w:fill="auto"/>
        <w:tabs>
          <w:tab w:val="right" w:pos="9799"/>
        </w:tabs>
        <w:jc w:val="both"/>
        <w:sectPr w:rsidR="00017E7E">
          <w:pgSz w:w="12240" w:h="15840"/>
          <w:pgMar w:top="734" w:right="1208" w:bottom="2195" w:left="1078" w:header="0" w:footer="3" w:gutter="0"/>
          <w:cols w:space="720"/>
          <w:noEndnote/>
          <w:docGrid w:linePitch="360"/>
        </w:sectPr>
      </w:pPr>
      <w:r>
        <w:t>ANEXO</w:t>
      </w:r>
      <w:r>
        <w:tab/>
        <w:t>6</w:t>
      </w:r>
      <w:r>
        <w:fldChar w:fldCharType="end"/>
      </w:r>
    </w:p>
    <w:p w14:paraId="0DF7CDC3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51"/>
        </w:tabs>
        <w:spacing w:after="280" w:line="240" w:lineRule="auto"/>
        <w:ind w:firstLine="0"/>
      </w:pPr>
      <w:r>
        <w:lastRenderedPageBreak/>
        <w:t>INFORMACIÓN GENERAL</w:t>
      </w:r>
    </w:p>
    <w:p w14:paraId="769D5880" w14:textId="77777777" w:rsidR="00017E7E" w:rsidRDefault="00000000">
      <w:pPr>
        <w:pStyle w:val="Bodytext10"/>
        <w:numPr>
          <w:ilvl w:val="1"/>
          <w:numId w:val="2"/>
        </w:numPr>
        <w:shd w:val="clear" w:color="auto" w:fill="auto"/>
        <w:tabs>
          <w:tab w:val="left" w:pos="899"/>
        </w:tabs>
        <w:spacing w:line="286" w:lineRule="auto"/>
        <w:ind w:left="400" w:firstLine="40"/>
        <w:jc w:val="both"/>
      </w:pPr>
      <w:r>
        <w:t>MISIÓN</w:t>
      </w:r>
    </w:p>
    <w:p w14:paraId="0D591C37" w14:textId="77777777" w:rsidR="00017E7E" w:rsidRDefault="00000000">
      <w:pPr>
        <w:pStyle w:val="Bodytext10"/>
        <w:shd w:val="clear" w:color="auto" w:fill="auto"/>
        <w:spacing w:after="220" w:line="286" w:lineRule="auto"/>
        <w:ind w:left="740" w:firstLine="0"/>
        <w:jc w:val="both"/>
      </w:pPr>
      <w:r>
        <w:t>La Dirección General de Aeronáutica Civil es la institución responsable de normar, administrar, fortalecer, facilitar y vigilar la prestación de los servicios aeroportuarios, de navegación y transporte aéreo, conforme a la legislación vigente y acuerdos internacionales ratificados por el Estado de Guatemala.</w:t>
      </w:r>
    </w:p>
    <w:p w14:paraId="2E9C2B3F" w14:textId="77777777" w:rsidR="00017E7E" w:rsidRDefault="00000000">
      <w:pPr>
        <w:pStyle w:val="Bodytext10"/>
        <w:numPr>
          <w:ilvl w:val="1"/>
          <w:numId w:val="2"/>
        </w:numPr>
        <w:shd w:val="clear" w:color="auto" w:fill="auto"/>
        <w:tabs>
          <w:tab w:val="left" w:pos="935"/>
        </w:tabs>
        <w:ind w:left="400" w:firstLine="40"/>
        <w:jc w:val="both"/>
      </w:pPr>
      <w:r>
        <w:t>VISIÓN</w:t>
      </w:r>
    </w:p>
    <w:p w14:paraId="3833CB61" w14:textId="77777777" w:rsidR="00017E7E" w:rsidRDefault="00000000">
      <w:pPr>
        <w:pStyle w:val="Bodytext10"/>
        <w:shd w:val="clear" w:color="auto" w:fill="auto"/>
        <w:spacing w:after="520"/>
        <w:ind w:left="740" w:firstLine="0"/>
        <w:jc w:val="both"/>
      </w:pPr>
      <w:r>
        <w:t>Ser líder regional en seguridad operacional y la administración, facilitación y vigilancia de los servicios aeroportuarios y aeronáuticos, elevando los estándares de calidad para seguridad y sostenibilidad del sistema de aviación civil.</w:t>
      </w:r>
    </w:p>
    <w:p w14:paraId="360E2A9F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58"/>
        </w:tabs>
        <w:spacing w:line="286" w:lineRule="auto"/>
        <w:ind w:firstLine="0"/>
      </w:pPr>
      <w:r>
        <w:t>FUNDAMENTO LEGAL</w:t>
      </w:r>
    </w:p>
    <w:p w14:paraId="5885DC31" w14:textId="77777777" w:rsidR="00017E7E" w:rsidRDefault="00000000">
      <w:pPr>
        <w:pStyle w:val="Bodytext10"/>
        <w:shd w:val="clear" w:color="auto" w:fill="auto"/>
        <w:spacing w:line="286" w:lineRule="auto"/>
        <w:ind w:left="400" w:firstLine="40"/>
        <w:jc w:val="both"/>
      </w:pPr>
      <w:r>
        <w:t xml:space="preserve">De conformidad con el Acuerdo A-70-2021 aprobado por la Controlaría General de Cuentas, el trabajo de la Unidad de </w:t>
      </w:r>
      <w:proofErr w:type="spellStart"/>
      <w:r>
        <w:t>Auditoria</w:t>
      </w:r>
      <w:proofErr w:type="spellEnd"/>
      <w:r>
        <w:t xml:space="preserve"> Interna se realizará con base:</w:t>
      </w:r>
    </w:p>
    <w:p w14:paraId="225D3A1D" w14:textId="77777777" w:rsidR="00017E7E" w:rsidRDefault="00000000">
      <w:pPr>
        <w:pStyle w:val="Bodytext10"/>
        <w:numPr>
          <w:ilvl w:val="0"/>
          <w:numId w:val="3"/>
        </w:numPr>
        <w:shd w:val="clear" w:color="auto" w:fill="auto"/>
        <w:tabs>
          <w:tab w:val="left" w:pos="795"/>
        </w:tabs>
        <w:spacing w:line="286" w:lineRule="auto"/>
        <w:ind w:left="400" w:firstLine="40"/>
        <w:jc w:val="both"/>
      </w:pPr>
      <w:r>
        <w:t xml:space="preserve">Normas de </w:t>
      </w:r>
      <w:proofErr w:type="spellStart"/>
      <w:r>
        <w:t>Auditoria</w:t>
      </w:r>
      <w:proofErr w:type="spellEnd"/>
      <w:r>
        <w:t xml:space="preserve"> Interna Gubernamental. -NAIGUB-</w:t>
      </w:r>
    </w:p>
    <w:p w14:paraId="6D8B3D1B" w14:textId="77777777" w:rsidR="00017E7E" w:rsidRDefault="00000000">
      <w:pPr>
        <w:pStyle w:val="Bodytext10"/>
        <w:numPr>
          <w:ilvl w:val="0"/>
          <w:numId w:val="3"/>
        </w:numPr>
        <w:shd w:val="clear" w:color="auto" w:fill="auto"/>
        <w:tabs>
          <w:tab w:val="left" w:pos="798"/>
        </w:tabs>
        <w:spacing w:line="286" w:lineRule="auto"/>
        <w:ind w:left="400" w:firstLine="40"/>
        <w:jc w:val="both"/>
      </w:pPr>
      <w:r>
        <w:t xml:space="preserve">Manual de </w:t>
      </w:r>
      <w:proofErr w:type="spellStart"/>
      <w:r>
        <w:t>Auditoria</w:t>
      </w:r>
      <w:proofErr w:type="spellEnd"/>
      <w:r>
        <w:t xml:space="preserve"> Interna Gubernamental. -MAIGUB-</w:t>
      </w:r>
    </w:p>
    <w:p w14:paraId="11B41518" w14:textId="77777777" w:rsidR="00017E7E" w:rsidRDefault="00000000">
      <w:pPr>
        <w:pStyle w:val="Bodytext10"/>
        <w:numPr>
          <w:ilvl w:val="0"/>
          <w:numId w:val="3"/>
        </w:numPr>
        <w:shd w:val="clear" w:color="auto" w:fill="auto"/>
        <w:tabs>
          <w:tab w:val="left" w:pos="802"/>
        </w:tabs>
        <w:spacing w:after="260" w:line="286" w:lineRule="auto"/>
        <w:ind w:left="400" w:firstLine="40"/>
        <w:jc w:val="both"/>
      </w:pPr>
      <w:r>
        <w:t xml:space="preserve">Ordenanza de </w:t>
      </w:r>
      <w:proofErr w:type="spellStart"/>
      <w:r>
        <w:t>Auditoria</w:t>
      </w:r>
      <w:proofErr w:type="spellEnd"/>
      <w:r>
        <w:t xml:space="preserve"> Interna Gubernamental.</w:t>
      </w:r>
    </w:p>
    <w:p w14:paraId="4499FCEE" w14:textId="77777777" w:rsidR="00017E7E" w:rsidRDefault="00000000">
      <w:pPr>
        <w:pStyle w:val="Bodytext10"/>
        <w:shd w:val="clear" w:color="auto" w:fill="auto"/>
        <w:spacing w:line="286" w:lineRule="auto"/>
        <w:ind w:left="400" w:firstLine="40"/>
        <w:jc w:val="both"/>
      </w:pPr>
      <w:r>
        <w:t>Nombramiento(s)</w:t>
      </w:r>
    </w:p>
    <w:p w14:paraId="62890DAD" w14:textId="77777777" w:rsidR="00017E7E" w:rsidRDefault="00000000">
      <w:pPr>
        <w:pStyle w:val="Bodytext10"/>
        <w:shd w:val="clear" w:color="auto" w:fill="auto"/>
        <w:spacing w:after="500" w:line="286" w:lineRule="auto"/>
        <w:ind w:left="400" w:firstLine="40"/>
        <w:jc w:val="both"/>
      </w:pPr>
      <w:r>
        <w:t>No. 013-2023</w:t>
      </w:r>
    </w:p>
    <w:p w14:paraId="3EDE902C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58"/>
        </w:tabs>
        <w:spacing w:line="283" w:lineRule="auto"/>
        <w:ind w:firstLine="0"/>
      </w:pPr>
      <w:r>
        <w:t>IDENTIFICACIÓN DE LAS NORMAS DE AUDITORIA INTERNA OBSERVADAS</w:t>
      </w:r>
    </w:p>
    <w:p w14:paraId="7B4DB828" w14:textId="77777777" w:rsidR="00017E7E" w:rsidRDefault="00000000">
      <w:pPr>
        <w:pStyle w:val="Bodytext10"/>
        <w:shd w:val="clear" w:color="auto" w:fill="auto"/>
        <w:spacing w:after="260" w:line="283" w:lineRule="auto"/>
        <w:ind w:left="400" w:firstLine="40"/>
        <w:jc w:val="both"/>
      </w:pPr>
      <w:r>
        <w:t>Para la realización de la auditoría se observaron las Normas de Auditoría Interna Gubernamental siguientes:</w:t>
      </w:r>
    </w:p>
    <w:p w14:paraId="6F9EBE01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NAIGUB-1 Requerimientos generales;</w:t>
      </w:r>
    </w:p>
    <w:p w14:paraId="37EC26B9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NAIGUB-2 Requerimientos para el personal de auditoría interna;</w:t>
      </w:r>
    </w:p>
    <w:p w14:paraId="79965282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NAIGUB-3 Evaluaciones a la actividad de auditoría interna;</w:t>
      </w:r>
    </w:p>
    <w:p w14:paraId="16E83420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NAIGUB-4 Plan Anual de Auditoría;</w:t>
      </w:r>
    </w:p>
    <w:p w14:paraId="65245C81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NAIGUB-5 Planificación de la auditoría;</w:t>
      </w:r>
    </w:p>
    <w:p w14:paraId="3EFDB980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NAIGUB-6 Realización de la auditoría;</w:t>
      </w:r>
    </w:p>
    <w:p w14:paraId="26C227E9" w14:textId="77777777" w:rsidR="00017E7E" w:rsidRDefault="00000000">
      <w:pPr>
        <w:pStyle w:val="Bodytext10"/>
        <w:shd w:val="clear" w:color="auto" w:fill="auto"/>
        <w:spacing w:line="283" w:lineRule="auto"/>
        <w:ind w:left="400" w:firstLine="40"/>
      </w:pPr>
      <w:r>
        <w:t>NAIGUB-7 Comunicación de resultados;</w:t>
      </w:r>
    </w:p>
    <w:p w14:paraId="0181E945" w14:textId="77777777" w:rsidR="00017E7E" w:rsidRDefault="00000000">
      <w:pPr>
        <w:pStyle w:val="Bodytext10"/>
        <w:shd w:val="clear" w:color="auto" w:fill="auto"/>
        <w:spacing w:after="520" w:line="283" w:lineRule="auto"/>
        <w:ind w:left="400" w:firstLine="40"/>
      </w:pPr>
      <w:r>
        <w:t>NAIGUB-8 Seguimiento a recomendaciones.</w:t>
      </w:r>
    </w:p>
    <w:p w14:paraId="6FDEA473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62"/>
        </w:tabs>
        <w:spacing w:after="280" w:line="240" w:lineRule="auto"/>
        <w:ind w:firstLine="0"/>
      </w:pPr>
      <w:r>
        <w:t>OBJETIVOS</w:t>
      </w:r>
    </w:p>
    <w:p w14:paraId="4B57CC4F" w14:textId="77777777" w:rsidR="00017E7E" w:rsidRDefault="00000000">
      <w:pPr>
        <w:pStyle w:val="Bodytext10"/>
        <w:numPr>
          <w:ilvl w:val="1"/>
          <w:numId w:val="2"/>
        </w:numPr>
        <w:shd w:val="clear" w:color="auto" w:fill="auto"/>
        <w:tabs>
          <w:tab w:val="left" w:pos="910"/>
        </w:tabs>
        <w:ind w:left="400" w:firstLine="40"/>
        <w:jc w:val="both"/>
      </w:pPr>
      <w:r>
        <w:t>GENERAL</w:t>
      </w:r>
    </w:p>
    <w:p w14:paraId="0245D3BC" w14:textId="0969E27A" w:rsidR="00017E7E" w:rsidRDefault="00000000">
      <w:pPr>
        <w:pStyle w:val="Bodytext10"/>
        <w:shd w:val="clear" w:color="auto" w:fill="auto"/>
        <w:ind w:firstLine="0"/>
      </w:pPr>
      <w:r>
        <w:t>Realizar inventario físico de las existencias de productos debidamente documentado, corroborar condiciones de almacenamiento, verificar procedimientos de registro, control y</w:t>
      </w:r>
    </w:p>
    <w:p w14:paraId="4BD88F64" w14:textId="77777777" w:rsidR="00017E7E" w:rsidRDefault="00000000">
      <w:pPr>
        <w:pStyle w:val="Bodytext10"/>
        <w:shd w:val="clear" w:color="auto" w:fill="auto"/>
        <w:ind w:firstLine="0"/>
      </w:pPr>
      <w:r>
        <w:t>custodia, determinar si efectivamente los artículos se están utilizando para fines de la DGAC</w:t>
      </w:r>
    </w:p>
    <w:p w14:paraId="4E01BCBB" w14:textId="77777777" w:rsidR="00017E7E" w:rsidRDefault="00000000">
      <w:pPr>
        <w:pStyle w:val="Bodytext40"/>
        <w:shd w:val="clear" w:color="auto" w:fill="auto"/>
        <w:spacing w:line="240" w:lineRule="auto"/>
        <w:ind w:left="0"/>
        <w:jc w:val="right"/>
      </w:pPr>
      <w:r>
        <w:t>G</w:t>
      </w:r>
    </w:p>
    <w:p w14:paraId="33B234C4" w14:textId="77777777" w:rsidR="00017E7E" w:rsidRDefault="00000000">
      <w:pPr>
        <w:pStyle w:val="Bodytext5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51F40F16" wp14:editId="1AF39A68">
                <wp:simplePos x="0" y="0"/>
                <wp:positionH relativeFrom="page">
                  <wp:posOffset>3569335</wp:posOffset>
                </wp:positionH>
                <wp:positionV relativeFrom="paragraph">
                  <wp:posOffset>88900</wp:posOffset>
                </wp:positionV>
                <wp:extent cx="614680" cy="13970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3035E6" w14:textId="77777777" w:rsidR="00017E7E" w:rsidRDefault="00000000">
                            <w:pPr>
                              <w:pStyle w:val="Bodytext30"/>
                              <w:shd w:val="clear" w:color="auto" w:fill="auto"/>
                              <w:ind w:left="0"/>
                            </w:pPr>
                            <w:r>
                              <w:t>Página 4 de 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F40F16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281.05pt;margin-top:7pt;width:48.4pt;height:11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" filled="f" stroked="f">
                <v:textbox inset="0,0,0,0">
                  <w:txbxContent>
                    <w:p w14:paraId="6A3035E6" w14:textId="77777777" w:rsidR="00017E7E" w:rsidRDefault="00000000">
                      <w:pPr>
                        <w:pStyle w:val="Bodytext30"/>
                        <w:shd w:val="clear" w:color="auto" w:fill="auto"/>
                        <w:ind w:left="0"/>
                      </w:pPr>
                      <w:r>
                        <w:t>Página 4 de 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Z’’</w:t>
      </w:r>
    </w:p>
    <w:p w14:paraId="569F0D15" w14:textId="77777777" w:rsidR="00017E7E" w:rsidRDefault="00000000">
      <w:pPr>
        <w:pStyle w:val="Bodytext40"/>
        <w:shd w:val="clear" w:color="auto" w:fill="auto"/>
        <w:spacing w:line="216" w:lineRule="auto"/>
        <w:ind w:left="9200"/>
      </w:pPr>
      <w:r>
        <w:t>LLI</w:t>
      </w:r>
      <w:r>
        <w:br w:type="page"/>
      </w:r>
    </w:p>
    <w:p w14:paraId="2EC5BC37" w14:textId="77777777" w:rsidR="00017E7E" w:rsidRDefault="00000000">
      <w:pPr>
        <w:pStyle w:val="Bodytext10"/>
        <w:shd w:val="clear" w:color="auto" w:fill="auto"/>
        <w:spacing w:after="540" w:line="240" w:lineRule="auto"/>
        <w:ind w:firstLine="0"/>
      </w:pPr>
      <w:r>
        <w:lastRenderedPageBreak/>
        <w:t>evaluar aspectos de cumplimiento, administrativos, financieros, estructura de control interno.</w:t>
      </w:r>
    </w:p>
    <w:p w14:paraId="72D25ECC" w14:textId="77777777" w:rsidR="00017E7E" w:rsidRDefault="00000000">
      <w:pPr>
        <w:pStyle w:val="Bodytext10"/>
        <w:numPr>
          <w:ilvl w:val="1"/>
          <w:numId w:val="2"/>
        </w:numPr>
        <w:shd w:val="clear" w:color="auto" w:fill="auto"/>
        <w:tabs>
          <w:tab w:val="left" w:pos="946"/>
        </w:tabs>
        <w:spacing w:line="283" w:lineRule="auto"/>
        <w:ind w:left="400" w:firstLine="40"/>
        <w:jc w:val="both"/>
      </w:pPr>
      <w:r>
        <w:t>ESPECÍFICOS</w:t>
      </w:r>
    </w:p>
    <w:p w14:paraId="0B8BA9A1" w14:textId="77777777" w:rsidR="00017E7E" w:rsidRDefault="00000000">
      <w:pPr>
        <w:pStyle w:val="Bodytext10"/>
        <w:shd w:val="clear" w:color="auto" w:fill="auto"/>
        <w:spacing w:after="500" w:line="283" w:lineRule="auto"/>
        <w:ind w:left="740"/>
        <w:jc w:val="both"/>
      </w:pPr>
      <w:r>
        <w:t>Determinar la confiabilidad de los saldos de los suministros de Librería y Limpieza. Toma física del 100% de los suministros de Librería y Limpieza.</w:t>
      </w:r>
    </w:p>
    <w:p w14:paraId="07F74029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auto"/>
        <w:ind w:firstLine="0"/>
      </w:pPr>
      <w:r>
        <w:t>ALCANCE</w:t>
      </w:r>
    </w:p>
    <w:p w14:paraId="336520FD" w14:textId="77777777" w:rsidR="00017E7E" w:rsidRDefault="00000000">
      <w:pPr>
        <w:pStyle w:val="Bodytext10"/>
        <w:shd w:val="clear" w:color="auto" w:fill="auto"/>
        <w:spacing w:after="540" w:line="240" w:lineRule="auto"/>
        <w:ind w:left="740"/>
        <w:jc w:val="both"/>
      </w:pPr>
      <w:r>
        <w:t>La evaluación comprendió el periodo del 01 de octubre 2022 al 31 de agosto de 2023.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042"/>
        <w:gridCol w:w="1328"/>
        <w:gridCol w:w="1897"/>
        <w:gridCol w:w="1512"/>
        <w:gridCol w:w="1530"/>
      </w:tblGrid>
      <w:tr w:rsidR="00017E7E" w14:paraId="78F17AFE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BD7"/>
          </w:tcPr>
          <w:p w14:paraId="49AF5750" w14:textId="77777777" w:rsidR="00017E7E" w:rsidRDefault="00000000">
            <w:pPr>
              <w:pStyle w:val="Other10"/>
              <w:shd w:val="clear" w:color="auto" w:fill="auto"/>
              <w:spacing w:before="80" w:line="240" w:lineRule="auto"/>
              <w:ind w:firstLine="0"/>
            </w:pPr>
            <w:r>
              <w:t>No.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BD7"/>
          </w:tcPr>
          <w:p w14:paraId="66B563E3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</w:pPr>
            <w:r>
              <w:t>Área Asignada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CCCBD7"/>
            <w:vAlign w:val="bottom"/>
          </w:tcPr>
          <w:p w14:paraId="57C5F4C6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</w:pPr>
            <w:r>
              <w:t>Universo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BD7"/>
            <w:vAlign w:val="bottom"/>
          </w:tcPr>
          <w:p w14:paraId="604C2CB0" w14:textId="77777777" w:rsidR="00017E7E" w:rsidRDefault="00000000">
            <w:pPr>
              <w:pStyle w:val="Other10"/>
              <w:shd w:val="clear" w:color="auto" w:fill="auto"/>
              <w:spacing w:after="40" w:line="240" w:lineRule="auto"/>
              <w:ind w:firstLine="0"/>
            </w:pPr>
            <w:r>
              <w:t>Cálculo</w:t>
            </w:r>
          </w:p>
          <w:p w14:paraId="655B5731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</w:pPr>
            <w:r>
              <w:t>Matemático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BD7"/>
          </w:tcPr>
          <w:p w14:paraId="7C2CEB48" w14:textId="77777777" w:rsidR="00017E7E" w:rsidRDefault="00000000">
            <w:pPr>
              <w:pStyle w:val="Other10"/>
              <w:shd w:val="clear" w:color="auto" w:fill="auto"/>
              <w:spacing w:before="100" w:line="240" w:lineRule="auto"/>
              <w:ind w:firstLine="0"/>
            </w:pPr>
            <w:r>
              <w:t>Elementos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BD7"/>
            <w:vAlign w:val="bottom"/>
          </w:tcPr>
          <w:p w14:paraId="624B2C5B" w14:textId="77777777" w:rsidR="00017E7E" w:rsidRDefault="00000000">
            <w:pPr>
              <w:pStyle w:val="Other10"/>
              <w:shd w:val="clear" w:color="auto" w:fill="auto"/>
              <w:spacing w:line="286" w:lineRule="auto"/>
              <w:ind w:firstLine="0"/>
              <w:jc w:val="both"/>
            </w:pPr>
            <w:r>
              <w:t>Muestreo no estadístico</w:t>
            </w:r>
          </w:p>
        </w:tc>
      </w:tr>
      <w:tr w:rsidR="00017E7E" w14:paraId="599181EE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CCCBD7"/>
          </w:tcPr>
          <w:p w14:paraId="63085D9B" w14:textId="77777777" w:rsidR="00017E7E" w:rsidRDefault="00017E7E"/>
        </w:tc>
        <w:tc>
          <w:tcPr>
            <w:tcW w:w="3042" w:type="dxa"/>
            <w:vMerge/>
            <w:tcBorders>
              <w:left w:val="single" w:sz="4" w:space="0" w:color="auto"/>
            </w:tcBorders>
            <w:shd w:val="clear" w:color="auto" w:fill="CCCBD7"/>
          </w:tcPr>
          <w:p w14:paraId="52FBDC8C" w14:textId="77777777" w:rsidR="00017E7E" w:rsidRDefault="00017E7E"/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CCCBD7"/>
          </w:tcPr>
          <w:p w14:paraId="2348CD83" w14:textId="77777777" w:rsidR="00017E7E" w:rsidRDefault="00017E7E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CCCBD7"/>
            <w:vAlign w:val="bottom"/>
          </w:tcPr>
          <w:p w14:paraId="3B00EE96" w14:textId="77777777" w:rsidR="00017E7E" w:rsidRDefault="00017E7E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CCCBD7"/>
          </w:tcPr>
          <w:p w14:paraId="2DCDBBB9" w14:textId="77777777" w:rsidR="00017E7E" w:rsidRDefault="00017E7E"/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BD7"/>
            <w:vAlign w:val="bottom"/>
          </w:tcPr>
          <w:p w14:paraId="48A769C5" w14:textId="77777777" w:rsidR="00017E7E" w:rsidRDefault="00017E7E"/>
        </w:tc>
      </w:tr>
      <w:tr w:rsidR="00017E7E" w14:paraId="49B9B758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27FB9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AA424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Área general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7BAF0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B7C6D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4960" w14:textId="77777777" w:rsidR="00017E7E" w:rsidRDefault="00017E7E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8B160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017E7E" w14:paraId="6FB6DF32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B9464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38AFF8" w14:textId="77777777" w:rsidR="00017E7E" w:rsidRDefault="00000000">
            <w:pPr>
              <w:pStyle w:val="Other10"/>
              <w:shd w:val="clear" w:color="auto" w:fill="auto"/>
              <w:spacing w:line="252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Registro y control de existencias de suministros de Librería y Limpieza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3AFD0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240545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C758F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6D53B" w14:textId="77777777" w:rsidR="00017E7E" w:rsidRDefault="00017E7E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E9A9" w14:textId="77777777" w:rsidR="00017E7E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240545</w:t>
            </w:r>
          </w:p>
        </w:tc>
      </w:tr>
    </w:tbl>
    <w:p w14:paraId="559D6318" w14:textId="77777777" w:rsidR="00017E7E" w:rsidRDefault="00017E7E">
      <w:pPr>
        <w:spacing w:after="539" w:line="1" w:lineRule="exact"/>
      </w:pPr>
    </w:p>
    <w:p w14:paraId="11EF7925" w14:textId="77777777" w:rsidR="00017E7E" w:rsidRDefault="00000000">
      <w:pPr>
        <w:pStyle w:val="Bodytext10"/>
        <w:numPr>
          <w:ilvl w:val="1"/>
          <w:numId w:val="2"/>
        </w:numPr>
        <w:shd w:val="clear" w:color="auto" w:fill="auto"/>
        <w:tabs>
          <w:tab w:val="left" w:pos="896"/>
        </w:tabs>
        <w:spacing w:line="240" w:lineRule="auto"/>
        <w:ind w:left="400" w:firstLine="40"/>
        <w:jc w:val="both"/>
      </w:pPr>
      <w:r>
        <w:t>LIMITACIONES AL ALCANCE</w:t>
      </w:r>
    </w:p>
    <w:p w14:paraId="2B0749B9" w14:textId="77777777" w:rsidR="00017E7E" w:rsidRDefault="00000000">
      <w:pPr>
        <w:pStyle w:val="Bodytext10"/>
        <w:shd w:val="clear" w:color="auto" w:fill="auto"/>
        <w:spacing w:after="540" w:line="240" w:lineRule="auto"/>
        <w:ind w:left="740"/>
        <w:jc w:val="both"/>
      </w:pPr>
      <w:r>
        <w:t>No hubo limitación al alcance.</w:t>
      </w:r>
    </w:p>
    <w:p w14:paraId="51A40A69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55"/>
        </w:tabs>
        <w:ind w:firstLine="0"/>
      </w:pPr>
      <w:r>
        <w:t>ESTRATEGIAS</w:t>
      </w:r>
    </w:p>
    <w:p w14:paraId="1D302D92" w14:textId="77777777" w:rsidR="00017E7E" w:rsidRDefault="00000000">
      <w:pPr>
        <w:pStyle w:val="Bodytext10"/>
        <w:shd w:val="clear" w:color="auto" w:fill="auto"/>
        <w:ind w:left="740"/>
        <w:jc w:val="both"/>
      </w:pPr>
      <w:r>
        <w:t>Se realizó la toma física de suministros de Librería y Limpieza en el Almacén General, estableciendo que no existen diferencias entre las Tarjetas Kardex y los suministros físicos.</w:t>
      </w:r>
    </w:p>
    <w:p w14:paraId="5C510232" w14:textId="77777777" w:rsidR="00017E7E" w:rsidRDefault="00000000">
      <w:pPr>
        <w:pStyle w:val="Bodytext10"/>
        <w:shd w:val="clear" w:color="auto" w:fill="auto"/>
        <w:ind w:left="740"/>
        <w:jc w:val="both"/>
      </w:pPr>
      <w:r>
        <w:t>Se realizó corte de formas de los formularios autorizados por la Contraloría General de Cuentas.</w:t>
      </w:r>
    </w:p>
    <w:p w14:paraId="2ACE0EEF" w14:textId="77777777" w:rsidR="00017E7E" w:rsidRDefault="00000000">
      <w:pPr>
        <w:pStyle w:val="Bodytext10"/>
        <w:shd w:val="clear" w:color="auto" w:fill="auto"/>
        <w:ind w:left="740"/>
        <w:jc w:val="both"/>
      </w:pPr>
      <w:r>
        <w:t>Se comprobó que existen equipo de seguridad para resguardar las instalaciones del Almacén General.</w:t>
      </w:r>
    </w:p>
    <w:p w14:paraId="3E1FA757" w14:textId="77777777" w:rsidR="00017E7E" w:rsidRDefault="00000000">
      <w:pPr>
        <w:pStyle w:val="Bodytext10"/>
        <w:shd w:val="clear" w:color="auto" w:fill="auto"/>
        <w:spacing w:after="500"/>
        <w:ind w:left="740"/>
        <w:jc w:val="both"/>
      </w:pPr>
      <w:r>
        <w:t>Todas las formas autorizadas por la Contraloría General de Cuentas están debidamente resguardadas.</w:t>
      </w:r>
    </w:p>
    <w:p w14:paraId="5F637724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62"/>
        </w:tabs>
        <w:ind w:firstLine="0"/>
      </w:pPr>
      <w:r>
        <w:t>RESULTADOS DE LA AUDITORÍA</w:t>
      </w:r>
    </w:p>
    <w:p w14:paraId="05DE854F" w14:textId="77777777" w:rsidR="00017E7E" w:rsidRDefault="00000000">
      <w:pPr>
        <w:pStyle w:val="Bodytext10"/>
        <w:shd w:val="clear" w:color="auto" w:fill="auto"/>
        <w:spacing w:after="500"/>
        <w:ind w:left="400" w:firstLine="40"/>
        <w:jc w:val="both"/>
      </w:pPr>
      <w:r>
        <w:t>De acuerdo al trabajo de auditoría realizado se informa que no existen riesgos materializados</w:t>
      </w:r>
    </w:p>
    <w:p w14:paraId="44ACEA63" w14:textId="77777777" w:rsidR="00017E7E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355"/>
        </w:tabs>
        <w:spacing w:after="300" w:line="240" w:lineRule="auto"/>
        <w:ind w:firstLine="0"/>
      </w:pPr>
      <w:r>
        <w:t>CONCLUSIÓN ESPECÍFICA</w:t>
      </w:r>
    </w:p>
    <w:p w14:paraId="38A8A4C4" w14:textId="56DE902B" w:rsidR="00017E7E" w:rsidRDefault="00000000">
      <w:pPr>
        <w:pStyle w:val="Bodytext10"/>
        <w:shd w:val="clear" w:color="auto" w:fill="auto"/>
        <w:spacing w:after="180" w:line="283" w:lineRule="auto"/>
        <w:ind w:left="400" w:firstLine="40"/>
        <w:jc w:val="both"/>
      </w:pPr>
      <w:r>
        <w:t>Como resultado de la evaluación practicada al Almacén General se determinó la aplicación de controles internos para el correcto funcionamiento y resguardo de los suministros existentes, estableciendo que durante del periodo de octubre de 2022 a</w:t>
      </w:r>
    </w:p>
    <w:p w14:paraId="38C5D403" w14:textId="77777777" w:rsidR="00017E7E" w:rsidRDefault="00000000">
      <w:pPr>
        <w:pStyle w:val="Bodytext30"/>
        <w:shd w:val="clear" w:color="auto" w:fill="auto"/>
        <w:tabs>
          <w:tab w:val="left" w:pos="9358"/>
        </w:tabs>
        <w:ind w:left="4520"/>
        <w:jc w:val="both"/>
      </w:pPr>
      <w:r>
        <w:t>Página 5 de 6</w:t>
      </w:r>
      <w:r>
        <w:tab/>
        <w:t>¿y</w:t>
      </w:r>
    </w:p>
    <w:p w14:paraId="186344A5" w14:textId="77777777" w:rsidR="00017E7E" w:rsidRDefault="00000000">
      <w:pPr>
        <w:pStyle w:val="Bodytext30"/>
        <w:shd w:val="clear" w:color="auto" w:fill="auto"/>
        <w:spacing w:line="180" w:lineRule="auto"/>
        <w:ind w:left="0"/>
        <w:jc w:val="right"/>
      </w:pPr>
      <w:r>
        <w:t>o</w:t>
      </w:r>
    </w:p>
    <w:p w14:paraId="334D2158" w14:textId="77777777" w:rsidR="00017E7E" w:rsidRDefault="00000000">
      <w:pPr>
        <w:pStyle w:val="Bodytext10"/>
        <w:shd w:val="clear" w:color="auto" w:fill="auto"/>
        <w:spacing w:line="283" w:lineRule="auto"/>
        <w:ind w:left="380"/>
        <w:jc w:val="both"/>
      </w:pPr>
      <w:r>
        <w:t>agosto de 2023, no existen diferencias entre las Tarjetas Kardex y los suministros físicos, no obstante continua en proceso de investigación por parte del Ministerio Publico los suministros de Limpieza y Librería que fueron objeto de hurto en el año</w:t>
      </w:r>
    </w:p>
    <w:p w14:paraId="3104F7AC" w14:textId="77777777" w:rsidR="00017E7E" w:rsidRDefault="00000000">
      <w:pPr>
        <w:pStyle w:val="Bodytext10"/>
        <w:shd w:val="clear" w:color="auto" w:fill="auto"/>
        <w:spacing w:after="600" w:line="283" w:lineRule="auto"/>
        <w:ind w:left="380"/>
        <w:jc w:val="both"/>
      </w:pPr>
      <w:r>
        <w:t>2020.</w:t>
      </w:r>
    </w:p>
    <w:p w14:paraId="269E5EFF" w14:textId="77777777" w:rsidR="00017E7E" w:rsidRDefault="00000000">
      <w:pPr>
        <w:framePr w:w="5918" w:h="1948" w:hSpace="2653" w:wrap="notBeside" w:vAnchor="text" w:hAnchor="text" w:x="2654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5273404" wp14:editId="2C037258">
            <wp:extent cx="3761105" cy="123761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6110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2A7D" w14:textId="77777777" w:rsidR="00017E7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645025" simplePos="0" relativeHeight="125829382" behindDoc="0" locked="0" layoutInCell="1" allowOverlap="1" wp14:anchorId="1B465B3C" wp14:editId="7526C849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675765" cy="1898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66513" w14:textId="77777777" w:rsidR="00017E7E" w:rsidRDefault="00000000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9. EQUIPO DE AUDITORÍA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465B3C" id="Shape 17" o:spid="_x0000_s1027" type="#_x0000_t202" style="position:absolute;margin-left:0;margin-top:7.75pt;width:131.95pt;height:14.95pt;z-index:125829382;visibility:visible;mso-wrap-style:square;mso-wrap-distance-left:0;mso-wrap-distance-top:0;mso-wrap-distance-right:36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" filled="f" stroked="f">
                <v:textbox inset="0,0,0,0">
                  <w:txbxContent>
                    <w:p w14:paraId="08466513" w14:textId="77777777" w:rsidR="00017E7E" w:rsidRDefault="00000000">
                      <w:pPr>
                        <w:pStyle w:val="Picturecaption10"/>
                        <w:shd w:val="clear" w:color="auto" w:fill="auto"/>
                      </w:pPr>
                      <w:r>
                        <w:t>9. EQUIPO DE AUDITORÍA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6203950" simplePos="0" relativeHeight="125829384" behindDoc="0" locked="0" layoutInCell="1" allowOverlap="1" wp14:anchorId="6BDEA143" wp14:editId="56DD7436">
                <wp:simplePos x="0" y="0"/>
                <wp:positionH relativeFrom="column">
                  <wp:posOffset>1538605</wp:posOffset>
                </wp:positionH>
                <wp:positionV relativeFrom="paragraph">
                  <wp:posOffset>626110</wp:posOffset>
                </wp:positionV>
                <wp:extent cx="116840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CC967" w14:textId="77777777" w:rsidR="00017E7E" w:rsidRDefault="00000000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F.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DEA143" id="Shape 19" o:spid="_x0000_s1028" type="#_x0000_t202" style="position:absolute;margin-left:121.15pt;margin-top:49.3pt;width:9.2pt;height:13.7pt;z-index:125829384;visibility:visible;mso-wrap-style:square;mso-wrap-distance-left:0;mso-wrap-distance-top:0;mso-wrap-distance-right:488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" filled="f" stroked="f">
                <v:textbox inset="0,0,0,0">
                  <w:txbxContent>
                    <w:p w14:paraId="13ACC967" w14:textId="77777777" w:rsidR="00017E7E" w:rsidRDefault="00000000">
                      <w:pPr>
                        <w:pStyle w:val="Picturecaption10"/>
                        <w:shd w:val="clear" w:color="auto" w:fill="auto"/>
                      </w:pPr>
                      <w:r>
                        <w:t>F.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FDCCAF" w14:textId="77777777" w:rsidR="00017E7E" w:rsidRDefault="00000000">
      <w:pPr>
        <w:pStyle w:val="Bodytext10"/>
        <w:shd w:val="clear" w:color="auto" w:fill="auto"/>
        <w:spacing w:after="300" w:line="240" w:lineRule="auto"/>
        <w:ind w:firstLine="0"/>
      </w:pPr>
      <w:r>
        <w:t>ANEXO</w:t>
      </w:r>
    </w:p>
    <w:p w14:paraId="19A23629" w14:textId="77777777" w:rsidR="00017E7E" w:rsidRDefault="00000000">
      <w:pPr>
        <w:pStyle w:val="Bodytext10"/>
        <w:shd w:val="clear" w:color="auto" w:fill="auto"/>
        <w:spacing w:after="340" w:line="240" w:lineRule="auto"/>
        <w:ind w:left="380"/>
      </w:pPr>
      <w:r>
        <w:t>Sin anexos.</w:t>
      </w:r>
    </w:p>
    <w:sectPr w:rsidR="00017E7E">
      <w:footerReference w:type="even" r:id="rId10"/>
      <w:footerReference w:type="default" r:id="rId11"/>
      <w:footerReference w:type="first" r:id="rId12"/>
      <w:pgSz w:w="12240" w:h="15840"/>
      <w:pgMar w:top="734" w:right="1208" w:bottom="2195" w:left="10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838F" w14:textId="77777777" w:rsidR="00492898" w:rsidRDefault="00492898">
      <w:r>
        <w:separator/>
      </w:r>
    </w:p>
  </w:endnote>
  <w:endnote w:type="continuationSeparator" w:id="0">
    <w:p w14:paraId="77185DA4" w14:textId="77777777" w:rsidR="00492898" w:rsidRDefault="0049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12F5" w14:textId="77777777" w:rsidR="00017E7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4917100" wp14:editId="2AA8BCF5">
              <wp:simplePos x="0" y="0"/>
              <wp:positionH relativeFrom="page">
                <wp:posOffset>3573145</wp:posOffset>
              </wp:positionH>
              <wp:positionV relativeFrom="page">
                <wp:posOffset>9361805</wp:posOffset>
              </wp:positionV>
              <wp:extent cx="5784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83AFD" w14:textId="77777777" w:rsidR="00017E7E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de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17100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1.35pt;margin-top:737.15pt;width:45.5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" filled="f" stroked="f">
              <v:textbox style="mso-fit-shape-to-text:t" inset="0,0,0,0">
                <w:txbxContent>
                  <w:p w14:paraId="0DB83AFD" w14:textId="77777777" w:rsidR="00017E7E" w:rsidRDefault="00000000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99DD" w14:textId="77777777" w:rsidR="00017E7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65C013" wp14:editId="28864DCE">
              <wp:simplePos x="0" y="0"/>
              <wp:positionH relativeFrom="page">
                <wp:posOffset>6337935</wp:posOffset>
              </wp:positionH>
              <wp:positionV relativeFrom="page">
                <wp:posOffset>8728075</wp:posOffset>
              </wp:positionV>
              <wp:extent cx="951230" cy="1174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174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4E889" w14:textId="6FA23577" w:rsidR="00017E7E" w:rsidRDefault="00017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665C013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99.05pt;margin-top:687.25pt;width:74.9pt;height:92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" filled="f" stroked="f">
              <v:textbox inset="0,0,0,0">
                <w:txbxContent>
                  <w:p w14:paraId="1E44E889" w14:textId="6FA23577" w:rsidR="00017E7E" w:rsidRDefault="00017E7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639474" wp14:editId="5E42FDF4">
              <wp:simplePos x="0" y="0"/>
              <wp:positionH relativeFrom="page">
                <wp:posOffset>3583305</wp:posOffset>
              </wp:positionH>
              <wp:positionV relativeFrom="page">
                <wp:posOffset>9761220</wp:posOffset>
              </wp:positionV>
              <wp:extent cx="57848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AB662" w14:textId="77777777" w:rsidR="00017E7E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de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39474" id="Shape 5" o:spid="_x0000_s1031" type="#_x0000_t202" style="position:absolute;margin-left:282.15pt;margin-top:768.6pt;width:45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" filled="f" stroked="f">
              <v:textbox style="mso-fit-shape-to-text:t" inset="0,0,0,0">
                <w:txbxContent>
                  <w:p w14:paraId="235AB662" w14:textId="77777777" w:rsidR="00017E7E" w:rsidRDefault="00000000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8EDF" w14:textId="77777777" w:rsidR="00017E7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B157559" wp14:editId="1143ACE7">
              <wp:simplePos x="0" y="0"/>
              <wp:positionH relativeFrom="page">
                <wp:posOffset>3553460</wp:posOffset>
              </wp:positionH>
              <wp:positionV relativeFrom="page">
                <wp:posOffset>8728075</wp:posOffset>
              </wp:positionV>
              <wp:extent cx="578485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5D0E2" w14:textId="77777777" w:rsidR="00017E7E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de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57559"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279.8pt;margin-top:687.25pt;width:45.55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" filled="f" stroked="f">
              <v:textbox style="mso-fit-shape-to-text:t" inset="0,0,0,0">
                <w:txbxContent>
                  <w:p w14:paraId="0C55D0E2" w14:textId="77777777" w:rsidR="00017E7E" w:rsidRDefault="00000000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92E1" w14:textId="77777777" w:rsidR="00017E7E" w:rsidRDefault="00017E7E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3293" w14:textId="77777777" w:rsidR="00017E7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C4CDE07" wp14:editId="5BEE90A7">
              <wp:simplePos x="0" y="0"/>
              <wp:positionH relativeFrom="page">
                <wp:posOffset>6815455</wp:posOffset>
              </wp:positionH>
              <wp:positionV relativeFrom="page">
                <wp:posOffset>8848725</wp:posOffset>
              </wp:positionV>
              <wp:extent cx="488950" cy="1257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5DD67" w14:textId="77777777" w:rsidR="00017E7E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&gt;MALA.C&gt;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CDE07" id="_x0000_t202" coordsize="21600,21600" o:spt="202" path="m,l,21600r21600,l21600,xe">
              <v:stroke joinstyle="miter"/>
              <v:path gradientshapeok="t" o:connecttype="rect"/>
            </v:shapetype>
            <v:shape id="Shape 23" o:spid="_x0000_s1033" type="#_x0000_t202" style="position:absolute;margin-left:536.65pt;margin-top:696.75pt;width:38.5pt;height:9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" filled="f" stroked="f">
              <v:textbox style="mso-fit-shape-to-text:t" inset="0,0,0,0">
                <w:txbxContent>
                  <w:p w14:paraId="2135DD67" w14:textId="77777777" w:rsidR="00017E7E" w:rsidRDefault="00000000">
                    <w:pPr>
                      <w:pStyle w:val="Headerorfooter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&gt;MALA.C&gt;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2632" w14:textId="77777777" w:rsidR="00492898" w:rsidRDefault="00492898"/>
  </w:footnote>
  <w:footnote w:type="continuationSeparator" w:id="0">
    <w:p w14:paraId="630452E9" w14:textId="77777777" w:rsidR="00492898" w:rsidRDefault="004928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B32"/>
    <w:multiLevelType w:val="multilevel"/>
    <w:tmpl w:val="B7B053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D1E83"/>
    <w:multiLevelType w:val="multilevel"/>
    <w:tmpl w:val="85023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F46BB"/>
    <w:multiLevelType w:val="multilevel"/>
    <w:tmpl w:val="4B94E9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4096268">
    <w:abstractNumId w:val="1"/>
  </w:num>
  <w:num w:numId="2" w16cid:durableId="1725714379">
    <w:abstractNumId w:val="0"/>
  </w:num>
  <w:num w:numId="3" w16cid:durableId="527137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7E"/>
    <w:rsid w:val="00017E7E"/>
    <w:rsid w:val="000561C6"/>
    <w:rsid w:val="00492898"/>
    <w:rsid w:val="00E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DE77D5"/>
  <w15:docId w15:val="{9D610A18-AD56-4C00-93EA-AC58726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2">
    <w:name w:val="Body text|2_"/>
    <w:basedOn w:val="Fuentedeprrafopredeter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Fuentedeprrafopredeter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Fuentedeprrafopredeter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Fuentedeprrafopredeter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Fuentedeprrafopredeter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1">
    <w:name w:val="Table of contents|1_"/>
    <w:basedOn w:val="Fuentedeprrafopredeter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Fuentedeprrafopredeter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">
    <w:name w:val="Body text|5_"/>
    <w:basedOn w:val="Fuentedeprrafopredeter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1">
    <w:name w:val="Other|1_"/>
    <w:basedOn w:val="Fuentedeprrafopredeter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Fuentedeprrafopredeter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after="4570" w:line="276" w:lineRule="auto"/>
      <w:ind w:left="220"/>
      <w:jc w:val="center"/>
    </w:pPr>
    <w:rPr>
      <w:rFonts w:ascii="Arial" w:eastAsia="Arial" w:hAnsi="Arial" w:cs="Arial"/>
    </w:rPr>
  </w:style>
  <w:style w:type="paragraph" w:customStyle="1" w:styleId="Headerorfooter20">
    <w:name w:val="Header or footer|2"/>
    <w:basedOn w:val="Normal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line="276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ind w:left="226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before="2280" w:after="100"/>
      <w:ind w:left="240"/>
      <w:jc w:val="center"/>
      <w:outlineLvl w:val="0"/>
    </w:pPr>
    <w:rPr>
      <w:rFonts w:ascii="Arial" w:eastAsia="Arial" w:hAnsi="Arial" w:cs="Arial"/>
    </w:rPr>
  </w:style>
  <w:style w:type="paragraph" w:customStyle="1" w:styleId="Tableofcontents10">
    <w:name w:val="Table of contents|1"/>
    <w:basedOn w:val="Normal"/>
    <w:link w:val="Tableofcontents1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line="228" w:lineRule="auto"/>
      <w:ind w:left="460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line="276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al"/>
    <w:link w:val="Picturecaption1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E41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105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E41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1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Eleonora Arana Vasquez</cp:lastModifiedBy>
  <cp:revision>3</cp:revision>
  <dcterms:created xsi:type="dcterms:W3CDTF">2024-01-03T18:04:00Z</dcterms:created>
  <dcterms:modified xsi:type="dcterms:W3CDTF">2024-01-03T18:42:00Z</dcterms:modified>
</cp:coreProperties>
</file>